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274" w:type="dxa"/>
        <w:tblLook w:val="06A0" w:firstRow="1" w:lastRow="0" w:firstColumn="1" w:lastColumn="0" w:noHBand="1" w:noVBand="1"/>
      </w:tblPr>
      <w:tblGrid>
        <w:gridCol w:w="1985"/>
        <w:gridCol w:w="3611"/>
        <w:gridCol w:w="4839"/>
        <w:gridCol w:w="4839"/>
      </w:tblGrid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t>№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t>п/п</w:t>
            </w: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t>Редакция схемы теплоснабжения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t>Предлагаемая редакция АО «Татэнерго»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t>Обоснование редакции АО «Татэнерго»</w:t>
            </w:r>
          </w:p>
        </w:tc>
      </w:tr>
      <w:tr w:rsidR="00FB4D20" w:rsidRPr="00FB4D20" w:rsidTr="00FB4D20">
        <w:trPr>
          <w:trHeight w:val="57"/>
        </w:trPr>
        <w:tc>
          <w:tcPr>
            <w:tcW w:w="15274" w:type="dxa"/>
            <w:gridSpan w:val="4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sz w:val="18"/>
              </w:rPr>
              <w:t>Утверждаемая часть</w:t>
            </w: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1</w:t>
            </w: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t>Стр.89 (табл.4.2)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sz w:val="18"/>
              </w:rPr>
              <w:t>Таблица 4.2 Тариф поставки тепловой энергии и объем полезного отпуска на 2022 год не соответствует установленному.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Тариф поставки тепловой энергии на 2022 год составляет 1565,74 руб./Гкал (без учета НДС), объем полезного отпуска – 1500, 06 </w:t>
            </w:r>
            <w:proofErr w:type="spellStart"/>
            <w:r w:rsidRPr="00FB4D20">
              <w:rPr>
                <w:rFonts w:cs="Arial"/>
                <w:sz w:val="18"/>
              </w:rPr>
              <w:t>тыс.Гкал</w:t>
            </w:r>
            <w:proofErr w:type="spellEnd"/>
            <w:r w:rsidRPr="00FB4D20">
              <w:rPr>
                <w:rFonts w:cs="Arial"/>
                <w:sz w:val="18"/>
              </w:rPr>
              <w:t>.  Служебная записка от 11.01.2022          № 101/71</w:t>
            </w: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2</w:t>
            </w: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t>Стр.173 (табл.6.3)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Затраты на мероприятия по реконструкции тепловых сетей с источником финансирования «ценовые зоны» должны соответствовать таблице 1 (прилагается) 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Таблица «Источник инвестиций для актуализации схем теплоснабжения с учетом перехода АО "Татэнерго" на Альтернативную котельную», направленная служебной запиской от 11.01.2022 № 101/71</w:t>
            </w:r>
          </w:p>
        </w:tc>
      </w:tr>
      <w:tr w:rsidR="00FB4D20" w:rsidRPr="00FB4D20" w:rsidTr="00FB4D20">
        <w:trPr>
          <w:trHeight w:val="57"/>
        </w:trPr>
        <w:tc>
          <w:tcPr>
            <w:tcW w:w="15274" w:type="dxa"/>
            <w:gridSpan w:val="4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Глава 1</w:t>
            </w: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Тепловод ТВ – 1 (Город-1) с двумя перекачивающими насосными станциями </w:t>
            </w:r>
            <w:r w:rsidRPr="00FB4D20">
              <w:rPr>
                <w:rFonts w:cs="Arial"/>
                <w:sz w:val="18"/>
              </w:rPr>
              <w:t>№1, №2 проложен в длину 21414 метра, из них надземная прокладка - 9675 м., подземная – 11739 м. Диаметр надземной прокладки 720 мм. Год ввода в эксплуатацию 1968 г.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Тепловод ТВ-2 (Город-2) с двумя перекачивающими насосными станциями №3, №5. Протяженность </w:t>
            </w:r>
            <w:proofErr w:type="spellStart"/>
            <w:r w:rsidRPr="00FB4D20">
              <w:rPr>
                <w:rFonts w:cs="Arial"/>
                <w:sz w:val="18"/>
              </w:rPr>
              <w:t>тепловода</w:t>
            </w:r>
            <w:proofErr w:type="spellEnd"/>
            <w:r w:rsidRPr="00FB4D20">
              <w:rPr>
                <w:rFonts w:cs="Arial"/>
                <w:sz w:val="18"/>
              </w:rPr>
              <w:t xml:space="preserve"> – 21 070 м., из них надземная прокладка – 7 602 м, подземная – 13 468 м. Диаметр надземной прокладки — 720 мм.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Тепловод ТВ-3 (Город-3) с двумя перекачивающими </w:t>
            </w:r>
            <w:proofErr w:type="gramStart"/>
            <w:r w:rsidRPr="00FB4D20">
              <w:rPr>
                <w:rFonts w:cs="Arial"/>
                <w:sz w:val="18"/>
              </w:rPr>
              <w:t>насосными  станциями</w:t>
            </w:r>
            <w:proofErr w:type="gramEnd"/>
            <w:r w:rsidRPr="00FB4D20">
              <w:rPr>
                <w:rFonts w:cs="Arial"/>
                <w:sz w:val="18"/>
              </w:rPr>
              <w:t xml:space="preserve"> №6, №7. Протяженность </w:t>
            </w:r>
            <w:proofErr w:type="spellStart"/>
            <w:r w:rsidRPr="00FB4D20">
              <w:rPr>
                <w:rFonts w:cs="Arial"/>
                <w:sz w:val="18"/>
              </w:rPr>
              <w:t>тепловода</w:t>
            </w:r>
            <w:proofErr w:type="spellEnd"/>
            <w:r w:rsidRPr="00FB4D20">
              <w:rPr>
                <w:rFonts w:cs="Arial"/>
                <w:sz w:val="18"/>
              </w:rPr>
              <w:t xml:space="preserve"> – 19074 м, из них надземная прокладка - 11431м., подземная – 7643 м. Диаметр надземной прокладки – 1020 мм.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Тепловод ТВ-4 (БСИ) с перекачивающей насосной станцией №4. Протяженность </w:t>
            </w:r>
            <w:proofErr w:type="spellStart"/>
            <w:r w:rsidRPr="00FB4D20">
              <w:rPr>
                <w:rFonts w:cs="Arial"/>
                <w:sz w:val="18"/>
              </w:rPr>
              <w:t>тепловода</w:t>
            </w:r>
            <w:proofErr w:type="spellEnd"/>
            <w:r w:rsidRPr="00FB4D20">
              <w:rPr>
                <w:rFonts w:cs="Arial"/>
                <w:sz w:val="18"/>
              </w:rPr>
              <w:t xml:space="preserve"> – 9134 м., из них подземная прокладка – 36 м., надземная прокладка – 9098 м. Диаметр надземной прокладки – 720 мм,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Характеристика тепловых сетей филиала АО «Татэнерго» «Нижнекамские тепловые сети» приведена в Табл. </w:t>
            </w:r>
            <w:proofErr w:type="gramStart"/>
            <w:r w:rsidRPr="00FB4D20">
              <w:rPr>
                <w:rFonts w:cs="Arial"/>
                <w:sz w:val="18"/>
              </w:rPr>
              <w:t>3.4.-</w:t>
            </w:r>
            <w:proofErr w:type="gramEnd"/>
            <w:r w:rsidRPr="00FB4D20">
              <w:rPr>
                <w:rFonts w:cs="Arial"/>
                <w:sz w:val="18"/>
              </w:rPr>
              <w:lastRenderedPageBreak/>
              <w:t>3.7. Общая материальная характеристика тепловых сетей АО «</w:t>
            </w:r>
            <w:proofErr w:type="spellStart"/>
            <w:r w:rsidRPr="00FB4D20">
              <w:rPr>
                <w:rFonts w:cs="Arial"/>
                <w:sz w:val="18"/>
              </w:rPr>
              <w:t>Татэнего</w:t>
            </w:r>
            <w:proofErr w:type="spellEnd"/>
            <w:r w:rsidRPr="00FB4D20">
              <w:rPr>
                <w:rFonts w:cs="Arial"/>
                <w:sz w:val="18"/>
              </w:rPr>
              <w:t>» составляет 104922  м2.</w:t>
            </w:r>
          </w:p>
          <w:p w:rsidR="00ED41B8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В настоящее время в городе Нижнекамске обслуживаются филиалом АО «Татэнерго» «Нижнекамские тепловые сети» 73 208 м водяных тепловых сетей в двухтрубном исчислении, в том числе подземной прокладки 35 158 м. Средний диаметр магистральных </w:t>
            </w:r>
            <w:proofErr w:type="spellStart"/>
            <w:r w:rsidRPr="00FB4D20">
              <w:rPr>
                <w:rFonts w:cs="Arial"/>
                <w:sz w:val="18"/>
              </w:rPr>
              <w:t>тепловодов</w:t>
            </w:r>
            <w:proofErr w:type="spellEnd"/>
            <w:r w:rsidRPr="00FB4D20">
              <w:rPr>
                <w:rFonts w:cs="Arial"/>
                <w:sz w:val="18"/>
              </w:rPr>
              <w:t>, находящихся на балансе филиала АО «Татэнерго» «Нижнекамские тепловые сети», составляет 717 мм.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lastRenderedPageBreak/>
              <w:t>Внести уточнение в текст.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1.</w:t>
            </w:r>
            <w:r w:rsidRPr="00FB4D20">
              <w:rPr>
                <w:rFonts w:cs="Arial"/>
                <w:sz w:val="18"/>
              </w:rPr>
              <w:tab/>
              <w:t>Тепловод ТВ – 1 (Город-1) с двумя перекачивающими насосными станциями №1, №2 проложен в длину 21694,56 метра, из них надземная прокладка – 9700,5 м., подземная – 11994,06 м. Диаметр надземной прокладки 720 мм. Год ввода в эксплуатацию 1968 г.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2.</w:t>
            </w:r>
            <w:r w:rsidRPr="00FB4D20">
              <w:rPr>
                <w:rFonts w:cs="Arial"/>
                <w:sz w:val="18"/>
              </w:rPr>
              <w:tab/>
              <w:t xml:space="preserve">Тепловод ТВ-2 (Город-2) с двумя перекачивающими насосными станциями №3, №5. Протяженность </w:t>
            </w:r>
            <w:proofErr w:type="spellStart"/>
            <w:r w:rsidRPr="00FB4D20">
              <w:rPr>
                <w:rFonts w:cs="Arial"/>
                <w:sz w:val="18"/>
              </w:rPr>
              <w:t>тепловода</w:t>
            </w:r>
            <w:proofErr w:type="spellEnd"/>
            <w:r w:rsidRPr="00FB4D20">
              <w:rPr>
                <w:rFonts w:cs="Arial"/>
                <w:sz w:val="18"/>
              </w:rPr>
              <w:t xml:space="preserve"> – 21784,76 м., из них надземная прокладка – 7 602 м, подземная – 14 182,76 м. Диаметр надземной прокладки — 720 мм.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Тепловод ТВ-3 (Город-3) с двумя перекачивающими </w:t>
            </w:r>
            <w:proofErr w:type="gramStart"/>
            <w:r w:rsidRPr="00FB4D20">
              <w:rPr>
                <w:rFonts w:cs="Arial"/>
                <w:sz w:val="18"/>
              </w:rPr>
              <w:t>насосными  станциями</w:t>
            </w:r>
            <w:proofErr w:type="gramEnd"/>
            <w:r w:rsidRPr="00FB4D20">
              <w:rPr>
                <w:rFonts w:cs="Arial"/>
                <w:sz w:val="18"/>
              </w:rPr>
              <w:t xml:space="preserve"> №6, №7. Протяженность </w:t>
            </w:r>
            <w:proofErr w:type="spellStart"/>
            <w:r w:rsidRPr="00FB4D20">
              <w:rPr>
                <w:rFonts w:cs="Arial"/>
                <w:sz w:val="18"/>
              </w:rPr>
              <w:t>тепловода</w:t>
            </w:r>
            <w:proofErr w:type="spellEnd"/>
            <w:r w:rsidRPr="00FB4D20">
              <w:rPr>
                <w:rFonts w:cs="Arial"/>
                <w:sz w:val="18"/>
              </w:rPr>
              <w:t xml:space="preserve"> – 20314,8 м, из них надземная прокладка - 11370м., подземная – 8944,8 м. Диаметр надземной прокладки – 1020 мм.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Тепловод ТВ-4 (БСИ) с перекачивающей насосной станцией №4. Протяженность </w:t>
            </w:r>
            <w:proofErr w:type="spellStart"/>
            <w:r w:rsidRPr="00FB4D20">
              <w:rPr>
                <w:rFonts w:cs="Arial"/>
                <w:sz w:val="18"/>
              </w:rPr>
              <w:t>тепловода</w:t>
            </w:r>
            <w:proofErr w:type="spellEnd"/>
            <w:r w:rsidRPr="00FB4D20">
              <w:rPr>
                <w:rFonts w:cs="Arial"/>
                <w:sz w:val="18"/>
              </w:rPr>
              <w:t xml:space="preserve"> – 9413,3 м., из них подземная прокладка – 36 м., надземная прокладка – 9377,3м. Диаметр надземной прокладки – 720 мм,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Характеристика тепловых сетей филиала АО «Татэнерго» «Нижнекамские тепловые сети» приведена в Табл. </w:t>
            </w:r>
            <w:proofErr w:type="gramStart"/>
            <w:r w:rsidRPr="00FB4D20">
              <w:rPr>
                <w:rFonts w:cs="Arial"/>
                <w:sz w:val="18"/>
              </w:rPr>
              <w:t>3.4.-</w:t>
            </w:r>
            <w:proofErr w:type="gramEnd"/>
            <w:r w:rsidRPr="00FB4D20">
              <w:rPr>
                <w:rFonts w:cs="Arial"/>
                <w:sz w:val="18"/>
              </w:rPr>
              <w:t xml:space="preserve">3.7. Общая материальная характеристика </w:t>
            </w:r>
            <w:r w:rsidRPr="00FB4D20">
              <w:rPr>
                <w:rFonts w:cs="Arial"/>
                <w:sz w:val="18"/>
              </w:rPr>
              <w:lastRenderedPageBreak/>
              <w:t>тепловых сетей АО «</w:t>
            </w:r>
            <w:proofErr w:type="spellStart"/>
            <w:r w:rsidRPr="00FB4D20">
              <w:rPr>
                <w:rFonts w:cs="Arial"/>
                <w:sz w:val="18"/>
              </w:rPr>
              <w:t>Татэнего</w:t>
            </w:r>
            <w:proofErr w:type="spellEnd"/>
            <w:r w:rsidRPr="00FB4D20">
              <w:rPr>
                <w:rFonts w:cs="Arial"/>
                <w:sz w:val="18"/>
              </w:rPr>
              <w:t>» составляет 97176,618  м2.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В настоящее время в городе Нижнекамске обслуживаются филиалом АО «Татэнерго» «Нижнекамские тепловые сети» 73 208 м водяных тепловых сетей в двухтрубном исчислении, в том числе подземной прокладки 35 158 м. Средний диаметр магистральных </w:t>
            </w:r>
            <w:proofErr w:type="spellStart"/>
            <w:r w:rsidRPr="00FB4D20">
              <w:rPr>
                <w:rFonts w:cs="Arial"/>
                <w:sz w:val="18"/>
              </w:rPr>
              <w:t>тепловодов</w:t>
            </w:r>
            <w:proofErr w:type="spellEnd"/>
            <w:r w:rsidRPr="00FB4D20">
              <w:rPr>
                <w:rFonts w:cs="Arial"/>
                <w:sz w:val="18"/>
              </w:rPr>
              <w:t>, находящихся на балансе филиала АО «Татэнерго» «Нижнекамские тепловые сети», составляет 664мм.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</w:tr>
      <w:tr w:rsidR="00FB4D20" w:rsidRPr="00FB4D20" w:rsidTr="00FB4D20">
        <w:trPr>
          <w:trHeight w:val="57"/>
        </w:trPr>
        <w:tc>
          <w:tcPr>
            <w:tcW w:w="15274" w:type="dxa"/>
            <w:gridSpan w:val="4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Глава 5</w:t>
            </w: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Описание вариантов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В Главе 5 отсутствуют не менее двух вариантов развития. Предлагаемое в качестве вариантов 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- рассмотрение результатов реализации решений, предусмотренных утвержденной схемой теплоснабжения (актуализация на 2022 год) и сравнение вариантов распределения отпусков тепловой энергии, с учетом перспективы застройки, предусмотренной новым Генеральным планом города до 2040 года; 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- варианты распределения потерь тепловой энергии в сетях АО «Татэнерго» и АО «</w:t>
            </w:r>
            <w:proofErr w:type="spellStart"/>
            <w:r w:rsidRPr="00FB4D20">
              <w:rPr>
                <w:rFonts w:cs="Arial"/>
                <w:sz w:val="18"/>
              </w:rPr>
              <w:t>ВКиЭХ</w:t>
            </w:r>
            <w:proofErr w:type="spellEnd"/>
            <w:r w:rsidRPr="00FB4D20">
              <w:rPr>
                <w:rFonts w:cs="Arial"/>
                <w:sz w:val="18"/>
              </w:rPr>
              <w:t xml:space="preserve">»; 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- оценка целесообразности перевода централизованной системы горячего водоснабжения от ЦТП на ИТП у потребителей. Не являются вариантами поскольку не являются взаимоисключающими. 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Распределение потерь в сетях АО «Татэнерго» и АО «</w:t>
            </w:r>
            <w:proofErr w:type="spellStart"/>
            <w:r w:rsidRPr="00FB4D20">
              <w:rPr>
                <w:rFonts w:cs="Arial"/>
                <w:sz w:val="18"/>
              </w:rPr>
              <w:t>ВКиЭХ</w:t>
            </w:r>
            <w:proofErr w:type="spellEnd"/>
            <w:r w:rsidRPr="00FB4D20">
              <w:rPr>
                <w:rFonts w:cs="Arial"/>
                <w:sz w:val="18"/>
              </w:rPr>
              <w:t xml:space="preserve">» не является вариантом, поскольку в рамках схемы необходимо определить фактический (расчетный) </w:t>
            </w:r>
            <w:proofErr w:type="gramStart"/>
            <w:r w:rsidRPr="00FB4D20">
              <w:rPr>
                <w:rFonts w:cs="Arial"/>
                <w:sz w:val="18"/>
              </w:rPr>
              <w:t>объём потерь</w:t>
            </w:r>
            <w:proofErr w:type="gramEnd"/>
            <w:r w:rsidRPr="00FB4D20">
              <w:rPr>
                <w:rFonts w:cs="Arial"/>
                <w:sz w:val="18"/>
              </w:rPr>
              <w:t xml:space="preserve"> подтвержденный расчетами.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Вариант рассмотрения результатов реализации решений предусмотренных утвержденной </w:t>
            </w:r>
            <w:proofErr w:type="gramStart"/>
            <w:r w:rsidRPr="00FB4D20">
              <w:rPr>
                <w:rFonts w:cs="Arial"/>
                <w:sz w:val="18"/>
              </w:rPr>
              <w:t>схемой  не</w:t>
            </w:r>
            <w:proofErr w:type="gramEnd"/>
            <w:r w:rsidRPr="00FB4D20">
              <w:rPr>
                <w:rFonts w:cs="Arial"/>
                <w:sz w:val="18"/>
              </w:rPr>
              <w:t xml:space="preserve"> является вариантов, поскольку это анализ фактического исполнения схемы в рамках актуализации. Рассмотрение нового состояния перспективного состояния схемы с учетом новых исходных данных будет отличатся от утвержденной, соответственно прогноз из утвержденной схемы не является вариантом. В качестве варианта рассмотреть вопрос обоснованного подключения перспективных потребителей к тепловым сетям с оценкой затрат и определением радиуса эффективного теплоснабжения.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Касательно потерь тепловой энергии необходимо определить объём потерь согласно электронной модели. 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Стр.7 Общие положения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Не представлены </w:t>
            </w:r>
            <w:proofErr w:type="gramStart"/>
            <w:r w:rsidRPr="00FB4D20">
              <w:rPr>
                <w:rFonts w:cs="Arial"/>
                <w:sz w:val="18"/>
              </w:rPr>
              <w:t>сведения</w:t>
            </w:r>
            <w:proofErr w:type="gramEnd"/>
            <w:r w:rsidRPr="00FB4D20">
              <w:rPr>
                <w:rFonts w:cs="Arial"/>
                <w:sz w:val="18"/>
              </w:rPr>
              <w:t xml:space="preserve"> которые используется из документов представленных в пунктах №1-5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раздел 3.2.1. выбор сценария развития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в разделе не представлены обоснования и расчеты радиуса эффективного теплоснабжения для подключаемых тепловых нагрузок. 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lastRenderedPageBreak/>
              <w:t>Не приведены расчеты капитальных затрат на реализацию комплекса мероприятий по подключению.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Не приведены тарифные последствия для каждого из вариантов.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Не приведены обоснования выбора тепловой магистрали для подключения на базе сравнения затрат на строительство и реконструкцию.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Не приведены балансы тепловой мощности источников тепловой энергии для каждого сценария.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раздел 3.3. 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таблицу 3.9 и 3.10 привести к единообразию.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таблицу 3.11 привести уточнение на базе каких данных построен баланс. При этом вызывает отсутствие изменений в величинах тепловых потерь на фоне увеличения объёма покупки тепловой энергии.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Предложение по установки приборов учета тепловой энергии в ЦТП на отпуск ГВС необходимо конкретизировать с указанием срока установки, капиталовложений и возникающего эффекта.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Предложения по ликвидации ЦТП путем установки ИТП дополнить расчетом окупаемости и расчетов возникающего эффекта.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Исключить из схемы теплоснабжения рекламу производителей оборудования.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таблица 2.1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скорректировать данные, с 2022 года показано сокращение нагрузок в 2 раза.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</w:tr>
      <w:tr w:rsidR="00FB4D20" w:rsidRPr="00FB4D20" w:rsidTr="00FB4D20">
        <w:trPr>
          <w:trHeight w:val="57"/>
        </w:trPr>
        <w:tc>
          <w:tcPr>
            <w:tcW w:w="15274" w:type="dxa"/>
            <w:gridSpan w:val="4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Глава 8,12</w:t>
            </w: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Перечень мероприятий филиала АО «Татэнерго» КТС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необходимо произвести уточнение согласно прилагаемым материалам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Перечень мероприятий не актуальный. </w:t>
            </w:r>
          </w:p>
        </w:tc>
      </w:tr>
      <w:tr w:rsidR="00FB4D20" w:rsidRPr="00FB4D20" w:rsidTr="00FB4D20">
        <w:trPr>
          <w:trHeight w:val="57"/>
        </w:trPr>
        <w:tc>
          <w:tcPr>
            <w:tcW w:w="15274" w:type="dxa"/>
            <w:gridSpan w:val="4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Глава 14 Схемы теплоснабжения </w:t>
            </w:r>
          </w:p>
        </w:tc>
      </w:tr>
      <w:tr w:rsidR="00FB4D20" w:rsidRPr="00FB4D20" w:rsidTr="00FB4D20">
        <w:trPr>
          <w:trHeight w:val="57"/>
        </w:trPr>
        <w:tc>
          <w:tcPr>
            <w:tcW w:w="1985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>2</w:t>
            </w:r>
          </w:p>
        </w:tc>
        <w:tc>
          <w:tcPr>
            <w:tcW w:w="3611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t>Стр.8,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  <w:r w:rsidRPr="00FB4D20">
              <w:rPr>
                <w:rFonts w:cs="Arial"/>
                <w:b/>
                <w:sz w:val="18"/>
              </w:rPr>
              <w:t>Стр.9 (табл.1.1)</w:t>
            </w:r>
          </w:p>
          <w:p w:rsidR="00FB4D20" w:rsidRPr="00FB4D20" w:rsidRDefault="00FB4D20" w:rsidP="00FB4D20">
            <w:pPr>
              <w:spacing w:line="259" w:lineRule="auto"/>
              <w:rPr>
                <w:rFonts w:cs="Arial"/>
                <w:b/>
                <w:sz w:val="18"/>
              </w:rPr>
            </w:pP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Таблица 1.1 Величины индексов – дефляторов необходимо актуализировать </w:t>
            </w:r>
          </w:p>
        </w:tc>
        <w:tc>
          <w:tcPr>
            <w:tcW w:w="4839" w:type="dxa"/>
            <w:noWrap/>
          </w:tcPr>
          <w:p w:rsidR="00FB4D20" w:rsidRPr="00FB4D20" w:rsidRDefault="00FB4D20" w:rsidP="00FB4D20">
            <w:pPr>
              <w:spacing w:line="259" w:lineRule="auto"/>
              <w:rPr>
                <w:rFonts w:cs="Arial"/>
                <w:sz w:val="18"/>
              </w:rPr>
            </w:pPr>
            <w:r w:rsidRPr="00FB4D20">
              <w:rPr>
                <w:rFonts w:cs="Arial"/>
                <w:sz w:val="18"/>
              </w:rPr>
              <w:t xml:space="preserve">Прогноз социально-экономического-экономического развития РФ на 2022 год и на плановый период 2023 и 2024 годов от 30.09.2021. </w:t>
            </w:r>
          </w:p>
        </w:tc>
      </w:tr>
    </w:tbl>
    <w:p w:rsidR="00FB4D20" w:rsidRPr="00FB4D20" w:rsidRDefault="00FB4D20" w:rsidP="00FB4D20">
      <w:pPr>
        <w:rPr>
          <w:rFonts w:cs="Arial"/>
        </w:rPr>
        <w:sectPr w:rsidR="00FB4D20" w:rsidRPr="00FB4D20" w:rsidSect="003A38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701" w:right="1134" w:bottom="993" w:left="709" w:header="708" w:footer="708" w:gutter="0"/>
          <w:pgNumType w:start="14"/>
          <w:cols w:space="708"/>
          <w:docGrid w:linePitch="360"/>
        </w:sectPr>
      </w:pPr>
    </w:p>
    <w:p w:rsidR="00FB4D20" w:rsidRPr="00FB4D20" w:rsidRDefault="00FB4D20" w:rsidP="00FB4D20">
      <w:pPr>
        <w:rPr>
          <w:rFonts w:cs="Arial"/>
        </w:rPr>
      </w:pPr>
      <w:r w:rsidRPr="00FB4D20">
        <w:rPr>
          <w:rFonts w:cs="Arial"/>
        </w:rPr>
        <w:lastRenderedPageBreak/>
        <w:drawing>
          <wp:inline distT="0" distB="0" distL="0" distR="0" wp14:anchorId="3E1F5620" wp14:editId="5337E290">
            <wp:extent cx="9251950" cy="6584767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8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317" w:rsidRPr="00FB4D20" w:rsidRDefault="009D2317">
      <w:pPr>
        <w:rPr>
          <w:rFonts w:cs="Arial"/>
        </w:rPr>
      </w:pPr>
    </w:p>
    <w:sectPr w:rsidR="009D2317" w:rsidRPr="00FB4D20" w:rsidSect="003A3879">
      <w:pgSz w:w="16838" w:h="11906" w:orient="landscape"/>
      <w:pgMar w:top="1701" w:right="1134" w:bottom="851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D20" w:rsidRDefault="00FB4D20" w:rsidP="00FB4D20">
      <w:pPr>
        <w:spacing w:after="0" w:line="240" w:lineRule="auto"/>
      </w:pPr>
      <w:r>
        <w:separator/>
      </w:r>
    </w:p>
  </w:endnote>
  <w:endnote w:type="continuationSeparator" w:id="0">
    <w:p w:rsidR="00FB4D20" w:rsidRDefault="00FB4D20" w:rsidP="00FB4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D20" w:rsidRDefault="00FB4D2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D20" w:rsidRDefault="00FB4D2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D20" w:rsidRDefault="00FB4D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D20" w:rsidRDefault="00FB4D20" w:rsidP="00FB4D20">
      <w:pPr>
        <w:spacing w:after="0" w:line="240" w:lineRule="auto"/>
      </w:pPr>
      <w:r>
        <w:separator/>
      </w:r>
    </w:p>
  </w:footnote>
  <w:footnote w:type="continuationSeparator" w:id="0">
    <w:p w:rsidR="00FB4D20" w:rsidRDefault="00FB4D20" w:rsidP="00FB4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D20" w:rsidRDefault="00FB4D2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D20" w:rsidRDefault="00FB4D20" w:rsidP="00FB4D20">
    <w:pPr>
      <w:pStyle w:val="a5"/>
      <w:jc w:val="right"/>
    </w:pPr>
    <w:r>
      <w:t>Приложение 1</w:t>
    </w:r>
  </w:p>
  <w:p w:rsidR="00FB4D20" w:rsidRDefault="00FB4D20" w:rsidP="00FB4D20">
    <w:pPr>
      <w:pStyle w:val="a5"/>
      <w:jc w:val="right"/>
    </w:pPr>
    <w:r>
      <w:t xml:space="preserve">Перечень замечаний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D20" w:rsidRDefault="00FB4D2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EA1A7A"/>
    <w:multiLevelType w:val="hybridMultilevel"/>
    <w:tmpl w:val="10D4FC4A"/>
    <w:lvl w:ilvl="0" w:tplc="140C8AA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D20"/>
    <w:rsid w:val="0011005E"/>
    <w:rsid w:val="00230035"/>
    <w:rsid w:val="002F7966"/>
    <w:rsid w:val="003B1A3C"/>
    <w:rsid w:val="003B60B2"/>
    <w:rsid w:val="004C7E09"/>
    <w:rsid w:val="00517E70"/>
    <w:rsid w:val="005A34C3"/>
    <w:rsid w:val="00736893"/>
    <w:rsid w:val="007D729D"/>
    <w:rsid w:val="008724FB"/>
    <w:rsid w:val="00993937"/>
    <w:rsid w:val="009A3730"/>
    <w:rsid w:val="009D2317"/>
    <w:rsid w:val="00BD48E1"/>
    <w:rsid w:val="00E92E61"/>
    <w:rsid w:val="00E933FB"/>
    <w:rsid w:val="00F35096"/>
    <w:rsid w:val="00FB05CC"/>
    <w:rsid w:val="00FB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C1E4D-CDD9-40BA-928E-70C041BA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93"/>
    <w:rPr>
      <w:rFonts w:ascii="Arial" w:hAnsi="Arial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4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FB4D2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header"/>
    <w:basedOn w:val="a"/>
    <w:link w:val="a6"/>
    <w:uiPriority w:val="99"/>
    <w:unhideWhenUsed/>
    <w:rsid w:val="00FB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4D20"/>
    <w:rPr>
      <w:rFonts w:ascii="Arial" w:hAnsi="Arial"/>
      <w:sz w:val="28"/>
    </w:rPr>
  </w:style>
  <w:style w:type="paragraph" w:styleId="a7">
    <w:name w:val="footer"/>
    <w:basedOn w:val="a"/>
    <w:link w:val="a8"/>
    <w:uiPriority w:val="99"/>
    <w:unhideWhenUsed/>
    <w:rsid w:val="00FB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4D20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Мазаев Николай Евгеньевич</dc:creator>
  <cp:keywords/>
  <dc:description/>
  <cp:lastModifiedBy>Мазаев Николай Евгеньевич</cp:lastModifiedBy>
  <cp:revision>1</cp:revision>
  <dcterms:created xsi:type="dcterms:W3CDTF">2022-05-16T13:25:00Z</dcterms:created>
  <dcterms:modified xsi:type="dcterms:W3CDTF">2022-05-16T13:28:00Z</dcterms:modified>
</cp:coreProperties>
</file>